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36"/>
          <w:szCs w:val="36"/>
        </w:rPr>
      </w:pPr>
      <w:r>
        <w:rPr>
          <w:sz w:val="36"/>
          <w:szCs w:val="36"/>
        </w:rPr>
        <w:t xml:space="preserve">LOJA EXCELENTE LOCALIZAÇÃO, ÁREA NOBRE DA CIDADE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ÁREA TOTAL APROXIMADA DE 120 METROS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ACABAMENTO DE ALTO PADRÃO, PORCELANATO E GRANITO, PROJETO LUMINOTECNICO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2 BANHEIROS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COPA/COZINHA COM BANCADA E ARMÁRIOS </w:t>
      </w:r>
      <w:bookmarkStart w:id="0" w:name="_GoBack"/>
      <w:bookmarkEnd w:id="0"/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DIVISÓRIAS DE AMBIENTES E JARDIM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VALOR 4.800,00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04F9-8DAA-4645-B322-E497EEF2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2024-03-26T16:49:00Z</dcterms:created>
  <dcterms:modified xsi:type="dcterms:W3CDTF">2024-03-26T16:49:00Z</dcterms:modified>
</cp:coreProperties>
</file>